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4"/>
        </w:rPr>
      </w:pPr>
    </w:p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32"/>
                <w:szCs w:val="32"/>
              </w:rPr>
              <w:t>贵州大学硕士研究生入学考试大纲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考试科目代码/名称：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874</w:t>
            </w:r>
            <w:r>
              <w:rPr>
                <w:rFonts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  <w:lang w:val="en-US" w:eastAsia="zh-CN"/>
              </w:rPr>
              <w:t>艺术文化学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u w:val="single"/>
              </w:rPr>
              <w:t xml:space="preserve">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/>
              <w:jc w:val="left"/>
            </w:pPr>
            <w:r>
              <w:rPr>
                <w:rFonts w:ascii="仿宋" w:hAnsi="仿宋" w:eastAsia="仿宋" w:cs="宋体"/>
                <w:sz w:val="24"/>
              </w:rPr>
              <w:t>本科目考试着重考核考生掌握艺术文化学</w:t>
            </w:r>
            <w:r>
              <w:rPr>
                <w:rFonts w:hint="eastAsia" w:ascii="仿宋" w:hAnsi="仿宋" w:eastAsia="仿宋" w:cs="宋体"/>
                <w:sz w:val="24"/>
              </w:rPr>
              <w:t>相关的</w:t>
            </w:r>
            <w:r>
              <w:rPr>
                <w:rFonts w:ascii="仿宋" w:hAnsi="仿宋" w:eastAsia="仿宋" w:cs="宋体"/>
                <w:sz w:val="24"/>
              </w:rPr>
              <w:t>基本概念、基本思想、基本分析方法和基本理论的程度，要求考生对艺术文化学理论体系的基本框架有一个比较全面的了解，并能综合运用所学的艺术文化学知识分析艺术文化相关问题与现象。</w:t>
            </w:r>
          </w:p>
          <w:p>
            <w:pPr>
              <w:spacing w:line="400" w:lineRule="exact"/>
              <w:ind w:firstLine="420" w:firstLineChars="200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适用范围</w:t>
            </w:r>
          </w:p>
          <w:p>
            <w:pPr>
              <w:widowControl/>
              <w:ind w:firstLine="48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适用于</w:t>
            </w:r>
            <w:r>
              <w:rPr>
                <w:rFonts w:hint="eastAsia" w:ascii="仿宋" w:hAnsi="仿宋" w:eastAsia="仿宋" w:cs="宋体"/>
                <w:sz w:val="24"/>
              </w:rPr>
              <w:t>艺术学理论专业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三、考试形式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    闭卷，180分钟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 xml:space="preserve">考试内容和考试要求 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艺术文化学的 主要概念及关系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</w:pPr>
            <w:r>
              <w:rPr>
                <w:rFonts w:hint="eastAsia" w:ascii="仿宋" w:hAnsi="仿宋" w:eastAsia="仿宋" w:cs="宋体"/>
                <w:sz w:val="24"/>
              </w:rPr>
              <w:t>艺术与文化的基本关系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</w:pPr>
            <w:r>
              <w:rPr>
                <w:rFonts w:ascii="仿宋" w:hAnsi="仿宋" w:eastAsia="仿宋" w:cs="宋体"/>
                <w:sz w:val="24"/>
              </w:rPr>
              <w:t>艺术与宗教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</w:pPr>
            <w:r>
              <w:rPr>
                <w:rFonts w:hint="eastAsia" w:ascii="仿宋" w:hAnsi="仿宋" w:eastAsia="仿宋" w:cs="宋体"/>
                <w:sz w:val="24"/>
              </w:rPr>
              <w:t>原始的艺术与文化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</w:pPr>
            <w:r>
              <w:rPr>
                <w:rFonts w:hint="eastAsia" w:ascii="仿宋" w:hAnsi="仿宋" w:eastAsia="仿宋" w:cs="宋体"/>
                <w:sz w:val="24"/>
              </w:rPr>
              <w:t>艺术与社会</w:t>
            </w:r>
          </w:p>
          <w:p>
            <w:pPr>
              <w:widowControl/>
              <w:numPr>
                <w:ilvl w:val="0"/>
                <w:numId w:val="2"/>
              </w:numPr>
              <w:ind w:firstLine="480" w:firstLineChars="200"/>
              <w:jc w:val="left"/>
            </w:pPr>
            <w:r>
              <w:rPr>
                <w:rFonts w:hint="eastAsia" w:ascii="仿宋" w:hAnsi="仿宋" w:eastAsia="仿宋" w:cs="宋体"/>
                <w:sz w:val="24"/>
              </w:rPr>
              <w:t>艺术与性别、身体</w:t>
            </w:r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line="480" w:lineRule="exact"/>
              <w:jc w:val="left"/>
              <w:rPr>
                <w:rFonts w:ascii="仿宋" w:hAnsi="仿宋" w:eastAsia="仿宋" w:cs="仿宋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E735B"/>
    <w:multiLevelType w:val="singleLevel"/>
    <w:tmpl w:val="59BE735B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714300AB"/>
    <w:multiLevelType w:val="singleLevel"/>
    <w:tmpl w:val="714300A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B1A44"/>
    <w:rsid w:val="3251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yl252</dc:creator>
  <cp:lastModifiedBy>mk</cp:lastModifiedBy>
  <dcterms:modified xsi:type="dcterms:W3CDTF">2018-08-07T08:09:13Z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